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02D4E" w:rsidRDefault="00AD3886" w:rsidP="00002D4E">
      <w:r>
        <w:t xml:space="preserve">  </w:t>
      </w:r>
      <w:r w:rsidR="00A54F6B">
        <w:rPr>
          <w:noProof/>
          <w:lang w:eastAsia="pt-BR"/>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 o:spid="_x0000_i1025" type="#_x0000_t75" style="width:170.8pt;height:92.1pt;visibility:visible">
            <v:imagedata r:id="rId5" o:title=""/>
          </v:shape>
        </w:pict>
      </w:r>
      <w:r w:rsidR="00002D4E">
        <w:t xml:space="preserve">  </w:t>
      </w:r>
      <w:r w:rsidR="00002D4E" w:rsidRPr="0063596C">
        <w:rPr>
          <w:noProof/>
        </w:rPr>
        <w:t xml:space="preserve">                                          </w:t>
      </w:r>
      <w:r w:rsidR="00A54F6B">
        <w:rPr>
          <w:noProof/>
          <w:lang w:eastAsia="pt-BR"/>
        </w:rPr>
        <w:pict>
          <v:shape id="Imagem 1" o:spid="_x0000_i1026" type="#_x0000_t75" style="width:86.25pt;height:86.25pt;visibility:visible">
            <v:imagedata r:id="rId6" o:title=""/>
          </v:shape>
        </w:pict>
      </w:r>
      <w:r w:rsidR="00002D4E" w:rsidRPr="0063596C">
        <w:rPr>
          <w:noProof/>
        </w:rPr>
        <w:t xml:space="preserve">       </w:t>
      </w:r>
      <w:r w:rsidR="00002D4E">
        <w:t xml:space="preserve">                                                         </w:t>
      </w:r>
    </w:p>
    <w:p w:rsidR="00AD3886" w:rsidRPr="0090309B" w:rsidRDefault="00AD3886" w:rsidP="00AD3886"/>
    <w:p w:rsidR="009609EE" w:rsidRPr="0090309B" w:rsidRDefault="009609EE" w:rsidP="00AD3886"/>
    <w:p w:rsidR="002C58BD" w:rsidRDefault="0063596C" w:rsidP="006A7A52">
      <w:pPr>
        <w:pStyle w:val="Ttulo"/>
      </w:pPr>
      <w:r>
        <w:t>GESTOS MUSICAI</w:t>
      </w:r>
      <w:r w:rsidR="00A54F6B">
        <w:t>S E GUIAS DE EXECUÇÃO: UM ESTU</w:t>
      </w:r>
      <w:bookmarkStart w:id="0" w:name="_GoBack"/>
      <w:bookmarkEnd w:id="0"/>
      <w:r w:rsidR="00A54F6B">
        <w:t>DO</w:t>
      </w:r>
      <w:r>
        <w:t xml:space="preserve"> ANALÍTICO</w:t>
      </w:r>
    </w:p>
    <w:p w:rsidR="004F2998" w:rsidRPr="004F2998" w:rsidRDefault="0063596C" w:rsidP="004F2998">
      <w:pPr>
        <w:jc w:val="right"/>
        <w:rPr>
          <w:i/>
        </w:rPr>
      </w:pPr>
      <w:r>
        <w:rPr>
          <w:i/>
        </w:rPr>
        <w:t>Michele Irma Santana Manica</w:t>
      </w:r>
    </w:p>
    <w:p w:rsidR="004F2998" w:rsidRPr="004F2998" w:rsidRDefault="004F2998" w:rsidP="004F2998">
      <w:pPr>
        <w:jc w:val="right"/>
        <w:rPr>
          <w:i/>
        </w:rPr>
      </w:pPr>
      <w:r w:rsidRPr="004F2998">
        <w:rPr>
          <w:i/>
        </w:rPr>
        <w:t>Orientador</w:t>
      </w:r>
      <w:r w:rsidR="0063596C">
        <w:rPr>
          <w:i/>
        </w:rPr>
        <w:t>: Sérgio Barrenechea</w:t>
      </w:r>
    </w:p>
    <w:p w:rsidR="006E694B" w:rsidRPr="004F2998" w:rsidRDefault="004F2998" w:rsidP="004F2998">
      <w:pPr>
        <w:spacing w:after="360"/>
        <w:jc w:val="right"/>
        <w:rPr>
          <w:i/>
        </w:rPr>
      </w:pPr>
      <w:r w:rsidRPr="004F2998">
        <w:rPr>
          <w:i/>
        </w:rPr>
        <w:t>PPGM-UNIRIO</w:t>
      </w:r>
    </w:p>
    <w:p w:rsidR="0063596C" w:rsidRDefault="0063596C" w:rsidP="0063596C">
      <w:pPr>
        <w:ind w:firstLine="708"/>
        <w:rPr>
          <w:rFonts w:ascii="Times New Roman" w:hAnsi="Times New Roman"/>
        </w:rPr>
      </w:pPr>
      <w:r w:rsidRPr="0063596C">
        <w:rPr>
          <w:rFonts w:ascii="Times New Roman" w:hAnsi="Times New Roman"/>
          <w:szCs w:val="24"/>
        </w:rPr>
        <w:t xml:space="preserve">A partir do entendimento da relação entre a teoria de Hatten (2004) e a teoria de Chaffin (CHAFFIN et al, 2002), o presente artigo propõe a associação dos gestos musicais sistematizados por Hatten com os guias de execução de Chaffin. O estudo evidencia como esta relação é possível a partir do mapeamento entre domínios ou intermodalidade (LAKOFF&amp;JOHNSON, 2002; BROWER, 2000). </w:t>
      </w:r>
      <w:r w:rsidRPr="0063596C">
        <w:rPr>
          <w:rFonts w:ascii="Times New Roman" w:hAnsi="Times New Roman"/>
          <w:lang w:eastAsia="pt-BR"/>
        </w:rPr>
        <w:t xml:space="preserve">As duas teorias, de Hatten e de Chaffin, possuem relações com os estudos da ciência e da linguística cognitiva e enfatizam o papel do corpo na formação de representações (metáforas) e na compreensão da música. </w:t>
      </w:r>
      <w:r w:rsidRPr="0063596C">
        <w:rPr>
          <w:rFonts w:ascii="Times New Roman" w:hAnsi="Times New Roman"/>
        </w:rPr>
        <w:t>A experiência de memorização da peça</w:t>
      </w:r>
      <w:r w:rsidRPr="0063596C">
        <w:rPr>
          <w:rFonts w:ascii="Times New Roman" w:hAnsi="Times New Roman"/>
          <w:u w:color="FF6600"/>
        </w:rPr>
        <w:t xml:space="preserve"> </w:t>
      </w:r>
      <w:r w:rsidRPr="0063596C">
        <w:rPr>
          <w:rFonts w:ascii="Times New Roman" w:hAnsi="Times New Roman"/>
          <w:i/>
          <w:u w:color="FF6600"/>
        </w:rPr>
        <w:t xml:space="preserve">Image </w:t>
      </w:r>
      <w:r w:rsidRPr="0063596C">
        <w:rPr>
          <w:rFonts w:ascii="Times New Roman" w:hAnsi="Times New Roman"/>
          <w:u w:color="FF6600"/>
        </w:rPr>
        <w:t>para flauta solo de Eugène Bozza</w:t>
      </w:r>
      <w:r w:rsidRPr="0063596C">
        <w:rPr>
          <w:rFonts w:ascii="Times New Roman" w:hAnsi="Times New Roman"/>
        </w:rPr>
        <w:t xml:space="preserve"> mostrou que diferentes guias podem ser assinalados em um mesmo momento da música. Visto a propriedade de um gesto musical atravessar diferentes dimensões, quando diferentes guias são marcados em uma mesma passagem musical nesse ponto se pode conceber um </w:t>
      </w:r>
      <w:r w:rsidRPr="0063596C">
        <w:rPr>
          <w:rFonts w:ascii="Times New Roman" w:hAnsi="Times New Roman"/>
          <w:i/>
        </w:rPr>
        <w:t>guia gestual</w:t>
      </w:r>
      <w:r w:rsidRPr="0063596C">
        <w:rPr>
          <w:rFonts w:ascii="Times New Roman" w:hAnsi="Times New Roman"/>
        </w:rPr>
        <w:t xml:space="preserve">, que abrange os demais guias em uma unidade expressiva: um gesto musical. Os guias gestuais possibilitam conectar os demais guias em uma única memória linguística. </w:t>
      </w:r>
    </w:p>
    <w:p w:rsidR="0063596C" w:rsidRPr="0063596C" w:rsidRDefault="0063596C" w:rsidP="0063596C">
      <w:pPr>
        <w:ind w:firstLine="708"/>
        <w:rPr>
          <w:rFonts w:ascii="Times New Roman" w:hAnsi="Times New Roman"/>
          <w:lang w:eastAsia="pt-BR"/>
        </w:rPr>
      </w:pPr>
      <w:r w:rsidRPr="0063596C">
        <w:rPr>
          <w:rFonts w:ascii="Times New Roman" w:hAnsi="Times New Roman"/>
          <w:lang w:eastAsia="pt-BR"/>
        </w:rPr>
        <w:t xml:space="preserve">Segundo Hatten, o gesto musical é uma formação energética do som projetada no tempo (HATTEN, 2004, p.95). A interpretação dos gestos musicais implica uma ampla variedade de competências, incluindo interpretação da notação e correlação dos gestos com outros aspectos da música. O autor pretende demonstrar como uma interpretação gestual da música é quase inevitável devido às estruturas cognitivas do ser humano. Ele afirma que essas capacidades servem para embasar uma interpretação gestual da música. Hatten faz uso de teorias da percepção e cognição dentre as quais podemos destacar a </w:t>
      </w:r>
      <w:r w:rsidRPr="0063596C">
        <w:rPr>
          <w:rFonts w:ascii="Times New Roman" w:hAnsi="Times New Roman"/>
          <w:i/>
          <w:lang w:eastAsia="pt-BR"/>
        </w:rPr>
        <w:t xml:space="preserve">getalt, </w:t>
      </w:r>
      <w:r w:rsidRPr="0063596C">
        <w:rPr>
          <w:rFonts w:ascii="Times New Roman" w:hAnsi="Times New Roman"/>
          <w:lang w:eastAsia="pt-BR"/>
        </w:rPr>
        <w:t>a intermodalidade das metáforas conceituais (LAKOFF&amp;JOHNSON, 2002) e da teoria semiótica de Peirce a partir dos estudos de Lidov (LIDOV, 1987; 1993; 1999).</w:t>
      </w:r>
    </w:p>
    <w:p w:rsidR="0063596C" w:rsidRPr="0063596C" w:rsidRDefault="0063596C" w:rsidP="0063596C">
      <w:pPr>
        <w:ind w:firstLine="708"/>
        <w:rPr>
          <w:rFonts w:ascii="Times New Roman" w:hAnsi="Times New Roman"/>
          <w:lang w:eastAsia="pt-BR"/>
        </w:rPr>
      </w:pPr>
      <w:r w:rsidRPr="0063596C">
        <w:rPr>
          <w:rFonts w:ascii="Times New Roman" w:hAnsi="Times New Roman"/>
          <w:lang w:eastAsia="pt-BR"/>
        </w:rPr>
        <w:t>O gesto é um significante, energético, forma/moldagem temporal que perpassa todas as modalidades de percepção, ação e cognição humanas (HATTE</w:t>
      </w:r>
      <w:r>
        <w:rPr>
          <w:rFonts w:ascii="Times New Roman" w:hAnsi="Times New Roman"/>
          <w:lang w:eastAsia="pt-BR"/>
        </w:rPr>
        <w:t>N</w:t>
      </w:r>
      <w:r w:rsidRPr="0063596C">
        <w:rPr>
          <w:rFonts w:ascii="Times New Roman" w:hAnsi="Times New Roman"/>
          <w:lang w:eastAsia="pt-BR"/>
        </w:rPr>
        <w:t xml:space="preserve">, 2004, p.). Mesmo quando a organização de um estilo musical pede maiores capacidades dos </w:t>
      </w:r>
      <w:r w:rsidRPr="0063596C">
        <w:rPr>
          <w:rFonts w:ascii="Times New Roman" w:hAnsi="Times New Roman"/>
          <w:lang w:eastAsia="pt-BR"/>
        </w:rPr>
        <w:lastRenderedPageBreak/>
        <w:t>ouvintes, o gesto pode ser percebido porque tais competências são pré-linguísticas e prévias aos rótulos conceituais da linguagem</w:t>
      </w:r>
      <w:r w:rsidR="00E13A72">
        <w:rPr>
          <w:rFonts w:ascii="Times New Roman" w:hAnsi="Times New Roman"/>
          <w:lang w:eastAsia="pt-BR"/>
        </w:rPr>
        <w:t xml:space="preserve">. </w:t>
      </w:r>
      <w:r w:rsidRPr="0063596C">
        <w:rPr>
          <w:rFonts w:ascii="Times New Roman" w:hAnsi="Times New Roman"/>
          <w:lang w:eastAsia="pt-BR"/>
        </w:rPr>
        <w:t xml:space="preserve">O autor propõe que o gesto humano é entendido em geral como expressivo significativamente, formado temporalmente através das modalidades humanas de percepção, ação e cognição. </w:t>
      </w:r>
      <w:r w:rsidRPr="0063596C">
        <w:rPr>
          <w:rFonts w:ascii="Times New Roman" w:hAnsi="Times New Roman"/>
          <w:szCs w:val="24"/>
        </w:rPr>
        <w:t>Lakoff e Johnson (2002) consideram que, por meio do mapeamento entre domínios, o ser humano pode utilizar conceitos de outras áreas da experiência (outras manifestações artísticas, valores e convenções sociais etc) na música.  Logo, Hatten faz uso de</w:t>
      </w:r>
      <w:r w:rsidRPr="0063596C">
        <w:rPr>
          <w:rFonts w:ascii="Times New Roman" w:hAnsi="Times New Roman"/>
          <w:szCs w:val="24"/>
          <w:lang w:val="pt-PT"/>
        </w:rPr>
        <w:t xml:space="preserve"> conceitos da linguística e da ciência cognitiva para demosntrar como um ouvinte pode interpretar uma obra musical evocando gestos, tópicas e outras figuras de linguagem (metáforas musicais). A própria ideia de gesto na música é uma metáfora da experiência musical mapeada do domínio da experiência corporal.</w:t>
      </w:r>
    </w:p>
    <w:p w:rsidR="0063596C" w:rsidRPr="0063596C" w:rsidRDefault="0063596C" w:rsidP="0063596C">
      <w:pPr>
        <w:ind w:firstLine="708"/>
        <w:rPr>
          <w:rFonts w:ascii="Times New Roman" w:hAnsi="Times New Roman"/>
          <w:u w:color="FF6600"/>
        </w:rPr>
      </w:pPr>
      <w:r w:rsidRPr="0063596C">
        <w:rPr>
          <w:rFonts w:ascii="Times New Roman" w:hAnsi="Times New Roman"/>
          <w:szCs w:val="24"/>
        </w:rPr>
        <w:t xml:space="preserve">A mesma linha de pensamento é adotada no artigo intitulado </w:t>
      </w:r>
      <w:r w:rsidRPr="0063596C">
        <w:rPr>
          <w:rFonts w:ascii="Times New Roman" w:hAnsi="Times New Roman"/>
          <w:i/>
          <w:u w:color="FF6600"/>
        </w:rPr>
        <w:t xml:space="preserve">A Cognitive Theory of Musical Meaning </w:t>
      </w:r>
      <w:r w:rsidRPr="0063596C">
        <w:rPr>
          <w:rFonts w:ascii="Times New Roman" w:hAnsi="Times New Roman"/>
          <w:u w:color="FF6600"/>
        </w:rPr>
        <w:t>de</w:t>
      </w:r>
      <w:r w:rsidRPr="0063596C">
        <w:rPr>
          <w:rFonts w:ascii="Times New Roman" w:hAnsi="Times New Roman"/>
          <w:i/>
          <w:u w:color="FF6600"/>
        </w:rPr>
        <w:t xml:space="preserve"> </w:t>
      </w:r>
      <w:r w:rsidRPr="0063596C">
        <w:rPr>
          <w:rFonts w:ascii="Times New Roman" w:hAnsi="Times New Roman"/>
          <w:u w:color="FF6600"/>
        </w:rPr>
        <w:t xml:space="preserve">Candance Brower  (BROWER, 2000, p.323-379). A autora explica a significação musical a partir dos estudos da linguística e da ciência cognitiva. Brower apresenta duas ideias principais: a associação de padrões de pensamento com padrões da experiência e o mapeamento de experiências corporais em outros domínios do intelecto. A autora cita exemplos como o </w:t>
      </w:r>
      <w:r w:rsidRPr="0063596C">
        <w:rPr>
          <w:rFonts w:ascii="Times New Roman" w:hAnsi="Times New Roman"/>
          <w:i/>
          <w:u w:color="FF6600"/>
        </w:rPr>
        <w:t xml:space="preserve">ritardando </w:t>
      </w:r>
      <w:r w:rsidRPr="0063596C">
        <w:rPr>
          <w:rFonts w:ascii="Times New Roman" w:hAnsi="Times New Roman"/>
          <w:u w:color="FF6600"/>
        </w:rPr>
        <w:t>que consiste em desacelerar a pulsação da música e que se relaciona com o desacelerar de uma corrida ou do andar humano, por exemplo. O estudo do gesto musical se relaciona com a performance na medida em que esta última é uma experiência eminentemente física/corpórea.</w:t>
      </w:r>
    </w:p>
    <w:p w:rsidR="0063596C" w:rsidRPr="0063596C" w:rsidRDefault="0063596C" w:rsidP="0063596C">
      <w:pPr>
        <w:ind w:firstLine="708"/>
        <w:rPr>
          <w:rFonts w:ascii="Times New Roman" w:eastAsia="Calibri" w:hAnsi="Times New Roman"/>
        </w:rPr>
      </w:pPr>
      <w:r>
        <w:rPr>
          <w:rFonts w:ascii="Times New Roman" w:hAnsi="Times New Roman"/>
        </w:rPr>
        <w:t xml:space="preserve">O </w:t>
      </w:r>
      <w:r w:rsidRPr="0063596C">
        <w:rPr>
          <w:rFonts w:ascii="Times New Roman" w:hAnsi="Times New Roman"/>
        </w:rPr>
        <w:t>modelo de guias de execução (GEs) propõe que a memória motora utilizada durante a execução seja associada a uma memória verbal, criando marcos importantes de um mapa mental da obra. Os guias de execução são uma proposta de esquema de recuperação em vários níveis de detalhamento. Eles operam como instrução mental que o músico utiliza para recordar a si mesmo o que deve fazer em pontos referenciais da peça (CHAFFIN et al, 2002, p. 199). </w:t>
      </w:r>
      <w:r w:rsidRPr="0063596C">
        <w:rPr>
          <w:rFonts w:ascii="Times New Roman" w:eastAsia="Calibri" w:hAnsi="Times New Roman"/>
        </w:rPr>
        <w:t>Os guias de execução são organizados em quatro categorias: guias estruturais, guias expressivos, guias interpretativos e guias básicos.</w:t>
      </w:r>
    </w:p>
    <w:p w:rsidR="0063596C" w:rsidRPr="0063596C" w:rsidRDefault="0063596C" w:rsidP="0063596C">
      <w:pPr>
        <w:ind w:firstLine="708"/>
        <w:rPr>
          <w:rFonts w:ascii="Times New Roman" w:hAnsi="Times New Roman"/>
          <w:b/>
          <w:szCs w:val="24"/>
        </w:rPr>
      </w:pPr>
      <w:r w:rsidRPr="0063596C">
        <w:rPr>
          <w:rFonts w:ascii="Times New Roman" w:hAnsi="Times New Roman"/>
          <w:szCs w:val="24"/>
        </w:rPr>
        <w:t xml:space="preserve">A teoria de Chaffin trata diretamente do elo entre a experiência corporal e o pensamento metafórico ao mapear uma experiência física, como uma articulação em </w:t>
      </w:r>
      <w:r w:rsidRPr="0063596C">
        <w:rPr>
          <w:rFonts w:ascii="Times New Roman" w:hAnsi="Times New Roman"/>
          <w:i/>
          <w:szCs w:val="24"/>
        </w:rPr>
        <w:t>staccato</w:t>
      </w:r>
      <w:r w:rsidRPr="0063596C">
        <w:rPr>
          <w:rFonts w:ascii="Times New Roman" w:hAnsi="Times New Roman"/>
          <w:szCs w:val="24"/>
        </w:rPr>
        <w:t xml:space="preserve"> na flauta, para uma memória linguística. Trata-se de mapear a experiência física da performance musical no domínio da linguagem escrita (o guia é assinalado na partitura). Os demais guias também tratam do mapeamento entre domínios. Por exemplo um guia interpretativo que se relacione com uma emoção como a alegria, mapeia a experiência física/psíquica da alegria (experimentada pelo </w:t>
      </w:r>
      <w:r w:rsidRPr="0063596C">
        <w:rPr>
          <w:rFonts w:ascii="Times New Roman" w:hAnsi="Times New Roman"/>
          <w:i/>
          <w:szCs w:val="24"/>
        </w:rPr>
        <w:t xml:space="preserve">performer </w:t>
      </w:r>
      <w:r w:rsidRPr="0063596C">
        <w:rPr>
          <w:rFonts w:ascii="Times New Roman" w:hAnsi="Times New Roman"/>
          <w:szCs w:val="24"/>
        </w:rPr>
        <w:t>ao longo de sua vida) na música e pode ser associado a guias básicos e expressivos (aspectos técnicos e estilísticos da performance).</w:t>
      </w:r>
    </w:p>
    <w:p w:rsidR="0063596C" w:rsidRPr="0063596C" w:rsidRDefault="0063596C" w:rsidP="0063596C">
      <w:pPr>
        <w:ind w:firstLine="708"/>
        <w:rPr>
          <w:rFonts w:ascii="Times New Roman" w:hAnsi="Times New Roman"/>
          <w:lang w:val="pt-PT"/>
        </w:rPr>
      </w:pPr>
      <w:r w:rsidRPr="0063596C">
        <w:rPr>
          <w:rFonts w:ascii="Times New Roman" w:hAnsi="Times New Roman"/>
        </w:rPr>
        <w:t xml:space="preserve">Hatten (HATTEN, 2004, p.133) afirma que a métrica e a tonalidade condicionam a nossa experiência temporal da forma rítmica, do contorno melódico e da condução de vozes com um campo gravitacional virtual, habilitando, assim, os ouvintes para uma experiência musical análoga da orientação corporal, do movimento, da ação e </w:t>
      </w:r>
      <w:r w:rsidRPr="0063596C">
        <w:rPr>
          <w:rFonts w:ascii="Times New Roman" w:hAnsi="Times New Roman"/>
        </w:rPr>
        <w:lastRenderedPageBreak/>
        <w:t>do gestual no dia-a-dia. O autor expõe que u</w:t>
      </w:r>
      <w:r w:rsidRPr="0063596C">
        <w:rPr>
          <w:rFonts w:ascii="Times New Roman" w:hAnsi="Times New Roman"/>
          <w:lang w:val="pt-PT"/>
        </w:rPr>
        <w:t xml:space="preserve">m gesto não reside em uma única dimensão musical, mas atravessa várias dimensões (citadas anteriomente neste parágrafo). Portanto, guias getuais auxiliam o </w:t>
      </w:r>
      <w:r w:rsidRPr="0063596C">
        <w:rPr>
          <w:rFonts w:ascii="Times New Roman" w:hAnsi="Times New Roman"/>
          <w:i/>
          <w:lang w:val="pt-PT"/>
        </w:rPr>
        <w:t xml:space="preserve">performer </w:t>
      </w:r>
      <w:r w:rsidRPr="0063596C">
        <w:rPr>
          <w:rFonts w:ascii="Times New Roman" w:hAnsi="Times New Roman"/>
          <w:lang w:val="pt-PT"/>
        </w:rPr>
        <w:t>na criação de um esquema de recuperação em vários níveis de detalhamento. Quanto mais complexa e detalhada a memorização efetuada pelo intérprete tanto mais seguro ele estará, pois em caso de um lapso de memória diferentes esquemas de recuperação podem ser acessados. Essa estratégia de memorização também proporciona ao músico maior consciência de suas escolhas interpretativas durante a performance.</w:t>
      </w:r>
    </w:p>
    <w:p w:rsidR="0063596C" w:rsidRPr="0063596C" w:rsidRDefault="0063596C" w:rsidP="0063596C">
      <w:pPr>
        <w:ind w:firstLine="708"/>
        <w:rPr>
          <w:rFonts w:ascii="Times New Roman" w:hAnsi="Times New Roman"/>
        </w:rPr>
      </w:pPr>
      <w:r w:rsidRPr="0063596C">
        <w:rPr>
          <w:rFonts w:ascii="Times New Roman" w:hAnsi="Times New Roman"/>
        </w:rPr>
        <w:t>A experiência com o modelo de guias de execução mostrou que diferentes guias podem ser assinalados em um mesmo momento da música, porque uma expressão musical pode requerer diversos recursos técnicos e expressivos do instrumentista. Visto a propriedade de um gesto musical atravessar diferentes dimensões da música, os guias gestuais possibilitam conectar os demais guias em uma única memória linguística. Logo, quando diferentes guias são marcados em uma mesma passagem musical nesse ponto se pode perceber um guia gestual, que abrange os demais guias em uma unidade expressiva: um gesto musical.</w:t>
      </w:r>
    </w:p>
    <w:p w:rsidR="0063596C" w:rsidRPr="0063596C" w:rsidRDefault="0063596C" w:rsidP="0063596C">
      <w:pPr>
        <w:rPr>
          <w:rFonts w:ascii="Times New Roman" w:hAnsi="Times New Roman"/>
          <w:u w:color="FF6600"/>
        </w:rPr>
      </w:pPr>
    </w:p>
    <w:p w:rsidR="0063596C" w:rsidRPr="0063596C" w:rsidRDefault="0063596C" w:rsidP="0063596C">
      <w:pPr>
        <w:tabs>
          <w:tab w:val="left" w:pos="3930"/>
          <w:tab w:val="right" w:pos="8504"/>
        </w:tabs>
        <w:spacing w:line="240" w:lineRule="auto"/>
        <w:rPr>
          <w:rFonts w:ascii="Times New Roman" w:hAnsi="Times New Roman"/>
        </w:rPr>
      </w:pPr>
    </w:p>
    <w:p w:rsidR="0063596C" w:rsidRPr="0063596C" w:rsidRDefault="0063596C" w:rsidP="0063596C">
      <w:pPr>
        <w:tabs>
          <w:tab w:val="left" w:pos="3930"/>
          <w:tab w:val="right" w:pos="8504"/>
        </w:tabs>
        <w:spacing w:line="240" w:lineRule="auto"/>
        <w:rPr>
          <w:rFonts w:ascii="Times New Roman" w:hAnsi="Times New Roman"/>
        </w:rPr>
      </w:pPr>
    </w:p>
    <w:p w:rsidR="0063596C" w:rsidRPr="0063596C" w:rsidRDefault="0063596C" w:rsidP="0063596C">
      <w:pPr>
        <w:tabs>
          <w:tab w:val="left" w:pos="3930"/>
          <w:tab w:val="right" w:pos="8504"/>
        </w:tabs>
        <w:spacing w:line="240" w:lineRule="auto"/>
        <w:rPr>
          <w:rFonts w:ascii="Times New Roman" w:hAnsi="Times New Roman"/>
        </w:rPr>
      </w:pPr>
    </w:p>
    <w:p w:rsidR="0063596C" w:rsidRPr="0063596C" w:rsidRDefault="0063596C" w:rsidP="0063596C">
      <w:pPr>
        <w:tabs>
          <w:tab w:val="left" w:pos="3930"/>
          <w:tab w:val="right" w:pos="8504"/>
        </w:tabs>
        <w:spacing w:line="240" w:lineRule="auto"/>
        <w:rPr>
          <w:rFonts w:ascii="Times New Roman" w:hAnsi="Times New Roman"/>
        </w:rPr>
      </w:pPr>
    </w:p>
    <w:p w:rsidR="0063596C" w:rsidRPr="0063596C" w:rsidRDefault="0063596C" w:rsidP="004F2998">
      <w:pPr>
        <w:spacing w:line="240" w:lineRule="auto"/>
        <w:ind w:firstLine="708"/>
        <w:rPr>
          <w:rFonts w:ascii="Times New Roman" w:hAnsi="Times New Roman"/>
        </w:rPr>
      </w:pPr>
    </w:p>
    <w:sectPr w:rsidR="0063596C" w:rsidRPr="0063596C">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Lucida Grande">
    <w:charset w:val="00"/>
    <w:family w:val="auto"/>
    <w:pitch w:val="variable"/>
    <w:sig w:usb0="E1000AEF" w:usb1="5000A1FF" w:usb2="00000000" w:usb3="00000000" w:csb0="000001B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0DC70E7"/>
    <w:multiLevelType w:val="hybridMultilevel"/>
    <w:tmpl w:val="CBA2C12A"/>
    <w:lvl w:ilvl="0" w:tplc="0416000F">
      <w:start w:val="1"/>
      <w:numFmt w:val="decimal"/>
      <w:lvlText w:val="%1."/>
      <w:lvlJc w:val="left"/>
      <w:pPr>
        <w:ind w:left="720" w:hanging="360"/>
      </w:p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doNotTrackMoves/>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C5695"/>
    <w:rsid w:val="00002D4E"/>
    <w:rsid w:val="0003539B"/>
    <w:rsid w:val="000F6582"/>
    <w:rsid w:val="00120419"/>
    <w:rsid w:val="001501E6"/>
    <w:rsid w:val="001730AC"/>
    <w:rsid w:val="001A7D7A"/>
    <w:rsid w:val="00201FA3"/>
    <w:rsid w:val="002C2510"/>
    <w:rsid w:val="002C58BD"/>
    <w:rsid w:val="002D4A3A"/>
    <w:rsid w:val="002F68FC"/>
    <w:rsid w:val="002F7222"/>
    <w:rsid w:val="0038153F"/>
    <w:rsid w:val="003870BE"/>
    <w:rsid w:val="003A1AFF"/>
    <w:rsid w:val="003A3DA0"/>
    <w:rsid w:val="004108AB"/>
    <w:rsid w:val="004551B5"/>
    <w:rsid w:val="0048469A"/>
    <w:rsid w:val="004F2998"/>
    <w:rsid w:val="00513213"/>
    <w:rsid w:val="00514CBA"/>
    <w:rsid w:val="00532B3D"/>
    <w:rsid w:val="005A6B43"/>
    <w:rsid w:val="005C5695"/>
    <w:rsid w:val="0063596C"/>
    <w:rsid w:val="00663EAA"/>
    <w:rsid w:val="006768B2"/>
    <w:rsid w:val="006A7A52"/>
    <w:rsid w:val="006E694B"/>
    <w:rsid w:val="00786D9B"/>
    <w:rsid w:val="007C0F28"/>
    <w:rsid w:val="00820247"/>
    <w:rsid w:val="0083123E"/>
    <w:rsid w:val="008B4382"/>
    <w:rsid w:val="008C03D6"/>
    <w:rsid w:val="008D73DE"/>
    <w:rsid w:val="0090309B"/>
    <w:rsid w:val="00954180"/>
    <w:rsid w:val="009609EE"/>
    <w:rsid w:val="00973167"/>
    <w:rsid w:val="00994202"/>
    <w:rsid w:val="009E7523"/>
    <w:rsid w:val="00A54F6B"/>
    <w:rsid w:val="00A61C45"/>
    <w:rsid w:val="00AA6A28"/>
    <w:rsid w:val="00AB58A3"/>
    <w:rsid w:val="00AD3886"/>
    <w:rsid w:val="00AF6A0C"/>
    <w:rsid w:val="00BB58BA"/>
    <w:rsid w:val="00CD30D9"/>
    <w:rsid w:val="00E13A72"/>
    <w:rsid w:val="00E151EC"/>
    <w:rsid w:val="00E906DD"/>
    <w:rsid w:val="00EA3880"/>
    <w:rsid w:val="00EA5482"/>
    <w:rsid w:val="00F1519D"/>
    <w:rsid w:val="00F30294"/>
    <w:rsid w:val="00FB4249"/>
    <w:rsid w:val="00FD66C4"/>
    <w:rsid w:val="00FE3AEA"/>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C5603DB"/>
  <w15:docId w15:val="{A6C12EC8-601C-492D-822A-26B8D00D5E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pt-BR" w:eastAsia="pt-B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C58BD"/>
    <w:pPr>
      <w:spacing w:line="300" w:lineRule="auto"/>
      <w:jc w:val="both"/>
    </w:pPr>
    <w:rPr>
      <w:rFonts w:ascii="Trebuchet MS" w:hAnsi="Trebuchet MS"/>
      <w:sz w:val="24"/>
      <w:szCs w:val="22"/>
      <w:lang w:eastAsia="en-US"/>
    </w:rPr>
  </w:style>
  <w:style w:type="paragraph" w:styleId="Ttulo1">
    <w:name w:val="heading 1"/>
    <w:basedOn w:val="Normal"/>
    <w:next w:val="Normal"/>
    <w:link w:val="Ttulo1Char"/>
    <w:uiPriority w:val="9"/>
    <w:qFormat/>
    <w:rsid w:val="00AA6A28"/>
    <w:pPr>
      <w:spacing w:before="240"/>
      <w:outlineLvl w:val="0"/>
    </w:pPr>
    <w:rPr>
      <w:sz w:val="28"/>
      <w:szCs w:val="24"/>
    </w:rPr>
  </w:style>
  <w:style w:type="paragraph" w:styleId="Ttulo2">
    <w:name w:val="heading 2"/>
    <w:basedOn w:val="Normal"/>
    <w:next w:val="Normal"/>
    <w:link w:val="Ttulo2Char"/>
    <w:uiPriority w:val="9"/>
    <w:unhideWhenUsed/>
    <w:qFormat/>
    <w:rsid w:val="001A7D7A"/>
    <w:pPr>
      <w:spacing w:before="240"/>
      <w:contextualSpacing/>
      <w:outlineLvl w:val="1"/>
    </w:pPr>
    <w:rPr>
      <w:b/>
      <w:szCs w:val="24"/>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Bibliografia">
    <w:name w:val="Bibliography"/>
    <w:basedOn w:val="Normal"/>
    <w:next w:val="Normal"/>
    <w:uiPriority w:val="37"/>
    <w:semiHidden/>
    <w:unhideWhenUsed/>
    <w:rsid w:val="002F68FC"/>
    <w:pPr>
      <w:spacing w:line="360" w:lineRule="auto"/>
    </w:pPr>
  </w:style>
  <w:style w:type="table" w:styleId="Tabelacomgrade">
    <w:name w:val="Table Grid"/>
    <w:basedOn w:val="Tabelanormal"/>
    <w:uiPriority w:val="39"/>
    <w:rsid w:val="00FD66C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grafodaLista">
    <w:name w:val="List Paragraph"/>
    <w:basedOn w:val="Normal"/>
    <w:uiPriority w:val="34"/>
    <w:qFormat/>
    <w:rsid w:val="00AF6A0C"/>
    <w:pPr>
      <w:ind w:left="720"/>
      <w:contextualSpacing/>
    </w:pPr>
  </w:style>
  <w:style w:type="character" w:customStyle="1" w:styleId="Ttulo1Char">
    <w:name w:val="Título 1 Char"/>
    <w:link w:val="Ttulo1"/>
    <w:uiPriority w:val="9"/>
    <w:rsid w:val="00AA6A28"/>
    <w:rPr>
      <w:rFonts w:ascii="Trebuchet MS" w:hAnsi="Trebuchet MS"/>
      <w:sz w:val="28"/>
      <w:szCs w:val="24"/>
    </w:rPr>
  </w:style>
  <w:style w:type="character" w:customStyle="1" w:styleId="Ttulo2Char">
    <w:name w:val="Título 2 Char"/>
    <w:link w:val="Ttulo2"/>
    <w:uiPriority w:val="9"/>
    <w:rsid w:val="001A7D7A"/>
    <w:rPr>
      <w:rFonts w:ascii="Trebuchet MS" w:hAnsi="Trebuchet MS"/>
      <w:b/>
      <w:sz w:val="24"/>
      <w:szCs w:val="24"/>
    </w:rPr>
  </w:style>
  <w:style w:type="paragraph" w:styleId="Ttulo">
    <w:name w:val="Title"/>
    <w:basedOn w:val="Normal"/>
    <w:next w:val="Normal"/>
    <w:link w:val="TtuloChar"/>
    <w:uiPriority w:val="10"/>
    <w:qFormat/>
    <w:rsid w:val="00AF6A0C"/>
    <w:pPr>
      <w:jc w:val="center"/>
    </w:pPr>
    <w:rPr>
      <w:b/>
      <w:sz w:val="28"/>
    </w:rPr>
  </w:style>
  <w:style w:type="character" w:customStyle="1" w:styleId="TtuloChar">
    <w:name w:val="Título Char"/>
    <w:link w:val="Ttulo"/>
    <w:uiPriority w:val="10"/>
    <w:rsid w:val="00AF6A0C"/>
    <w:rPr>
      <w:rFonts w:ascii="Trebuchet MS" w:hAnsi="Trebuchet MS"/>
      <w:b/>
      <w:sz w:val="28"/>
    </w:rPr>
  </w:style>
  <w:style w:type="paragraph" w:styleId="Textodebalo">
    <w:name w:val="Balloon Text"/>
    <w:basedOn w:val="Normal"/>
    <w:link w:val="TextodebaloChar"/>
    <w:uiPriority w:val="99"/>
    <w:semiHidden/>
    <w:unhideWhenUsed/>
    <w:rsid w:val="006768B2"/>
    <w:pPr>
      <w:spacing w:line="240" w:lineRule="auto"/>
    </w:pPr>
    <w:rPr>
      <w:rFonts w:ascii="Lucida Grande" w:hAnsi="Lucida Grande" w:cs="Lucida Grande"/>
      <w:sz w:val="18"/>
      <w:szCs w:val="18"/>
    </w:rPr>
  </w:style>
  <w:style w:type="character" w:customStyle="1" w:styleId="TextodebaloChar">
    <w:name w:val="Texto de balão Char"/>
    <w:link w:val="Textodebalo"/>
    <w:uiPriority w:val="99"/>
    <w:semiHidden/>
    <w:rsid w:val="006768B2"/>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Pages>
  <Words>1051</Words>
  <Characters>5678</Characters>
  <Application>Microsoft Office Word</Application>
  <DocSecurity>0</DocSecurity>
  <Lines>47</Lines>
  <Paragraphs>13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6716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Renato Borges</dc:creator>
  <cp:keywords/>
  <dc:description/>
  <cp:lastModifiedBy>Admin</cp:lastModifiedBy>
  <cp:revision>3</cp:revision>
  <dcterms:created xsi:type="dcterms:W3CDTF">2017-08-26T17:31:00Z</dcterms:created>
  <dcterms:modified xsi:type="dcterms:W3CDTF">2017-08-26T23:52:00Z</dcterms:modified>
</cp:coreProperties>
</file>